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Сопроводительный лист для передачи оборудования в АСЦ</w:t>
      </w:r>
    </w:p>
    <w:tbl>
      <w:tblPr>
        <w:tblStyle w:val="ab"/>
        <w:tblW w:w="10632" w:type="dxa"/>
        <w:jc w:val="left"/>
        <w:tblInd w:w="0" w:type="dxa"/>
        <w:tblCellMar>
          <w:top w:w="0" w:type="dxa"/>
          <w:left w:w="158" w:type="dxa"/>
          <w:bottom w:w="0" w:type="dxa"/>
          <w:right w:w="108" w:type="dxa"/>
        </w:tblCellMar>
        <w:tblLook w:val="04a0"/>
      </w:tblPr>
      <w:tblGrid>
        <w:gridCol w:w="3259"/>
        <w:gridCol w:w="7372"/>
      </w:tblGrid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отправитель:</w:t>
            </w:r>
          </w:p>
        </w:tc>
        <w:tc>
          <w:tcPr>
            <w:tcW w:w="737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ИНН:</w:t>
            </w:r>
          </w:p>
        </w:tc>
        <w:tc>
          <w:tcPr>
            <w:tcW w:w="737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56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Контактное лицо:</w:t>
            </w:r>
          </w:p>
        </w:tc>
        <w:tc>
          <w:tcPr>
            <w:tcW w:w="737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Контактный номер:</w:t>
            </w:r>
          </w:p>
        </w:tc>
        <w:tc>
          <w:tcPr>
            <w:tcW w:w="737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обратной доставки:</w:t>
            </w:r>
          </w:p>
        </w:tc>
        <w:tc>
          <w:tcPr>
            <w:tcW w:w="737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Курирующий менеджер:</w:t>
            </w:r>
          </w:p>
        </w:tc>
        <w:tc>
          <w:tcPr>
            <w:tcW w:w="737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tbl>
      <w:tblPr>
        <w:tblStyle w:val="ab"/>
        <w:tblW w:w="10627" w:type="dxa"/>
        <w:jc w:val="left"/>
        <w:tblInd w:w="0" w:type="dxa"/>
        <w:tblCellMar>
          <w:top w:w="0" w:type="dxa"/>
          <w:left w:w="63" w:type="dxa"/>
          <w:bottom w:w="0" w:type="dxa"/>
          <w:right w:w="108" w:type="dxa"/>
        </w:tblCellMar>
        <w:tblLook w:val="04a0"/>
      </w:tblPr>
      <w:tblGrid>
        <w:gridCol w:w="799"/>
        <w:gridCol w:w="2694"/>
        <w:gridCol w:w="3448"/>
        <w:gridCol w:w="3685"/>
      </w:tblGrid>
      <w:tr>
        <w:trPr>
          <w:trHeight w:val="574" w:hRule="atLeast"/>
        </w:trPr>
        <w:tc>
          <w:tcPr>
            <w:tcW w:w="799" w:type="dxa"/>
            <w:tcBorders/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94" w:type="dxa"/>
            <w:tcBorders/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Штрихкод</w:t>
            </w:r>
          </w:p>
        </w:tc>
        <w:tc>
          <w:tcPr>
            <w:tcW w:w="3448" w:type="dxa"/>
            <w:tcBorders/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Модель</w:t>
            </w:r>
          </w:p>
        </w:tc>
        <w:tc>
          <w:tcPr>
            <w:tcW w:w="3685" w:type="dxa"/>
            <w:tcBorders/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Описание неисправности</w:t>
            </w:r>
          </w:p>
        </w:tc>
      </w:tr>
      <w:tr>
        <w:trPr>
          <w:trHeight w:val="553" w:hRule="atLeast"/>
        </w:trPr>
        <w:tc>
          <w:tcPr>
            <w:tcW w:w="799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48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685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Гарантийное обслуживание осуществляется при предъявлении оборудования в упаковочной коробке, паспортом на изделие и заполненным сопроводительным листом. Доставка до сервисного центра осуществляется за счет покупателя силами и средствами транспортной компании «Энергия», либо по предварительному согласованию с курирующим менеджером</w:t>
      </w:r>
    </w:p>
    <w:p>
      <w:pPr>
        <w:pStyle w:val="Normal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Оборудование с согласия Заказчика принимается без разборки и проверки соответствия заявленных им неисправностей, без проверки внутренних повреждений. Принадлежность к гарантийному ремонту определяется только после предоставления Заказчиком документов подтверждающих гарантийные обязательства Исполнителя предъявленного оборудования, а так же после вскрытия, осмотра и диагностики специалистами сервисного центра. Заказчик принимает на себя риск, связанный с возможным обнаружением в сданном оборудовании дефектов, не указанных в данной квитанции о приеме оборудования, а также риск возможной полной или частичной утраты работоспособности оборудования или отдельных его узлов и блоков в следствии грубых нарушений пользователем условий эксплуатации оборудования, наличия следов коррозии и агрессивных сред, попадания влаги, механических повреждений, следов наличия посторонних предметов, следов присутствия насекомых или продуктов их жизнедеятельности. В случаи одностороннего отказа Заказчика от проведения платного не гарантийного ремонта, Заказчиком оплачивается выполненная диагностика в соответствии с расценками сервисного центра Исполнителя. Диагностика дефекта может занимать до 15 рабочих дней в зависимости от характера неисправности, если не было согласованно сторонами дополнительно. При периодическом характере неисправности («плавающий» дефект) начало работы по его устранению считается день проявления дефекта в сервисном центре. Срок устранения гарантийных дефектов оборудования без учета времени диагностики при наличии ЗИП комплектующих составляет не более 30 дней с момента передачи изделия на ремонт. Максимальный срок ремонта не более 45 дней без предварительного уведомления Заказчика, более длительный срок согласовывается дополнительно по истечению данного срока. После уведомления Исполнителем о готовности оборудования, Заказчик обязуется в 30 дневные срок забрать, либо оформить доставку оборудования из ремонта. Максимальный срок хранения оборудования Заказчика не более трех месяцев с даты приема оборудования на ремонт, после чего Исполнитель вправе принять решение об утилизации данного оборудования, либо его реализации в целях погашения фактически понесенных Исполнителем затрат на его хранение. Возврат оборудования из ремонта осуществляется после оплаты выставленных счетов (в случаи платного не гарантийного ремонта) и при наличии квитанции о приеме оборудования в ремонт. При утере квитанции оборудование возвращается только при наличии паспорта на имя Заказчика</w:t>
      </w:r>
    </w:p>
    <w:p>
      <w:pPr>
        <w:pStyle w:val="Normal"/>
        <w:ind w:firstLine="708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ab"/>
        <w:tblW w:w="10485" w:type="dxa"/>
        <w:jc w:val="left"/>
        <w:tblInd w:w="0" w:type="dxa"/>
        <w:tblCellMar>
          <w:top w:w="0" w:type="dxa"/>
          <w:left w:w="153" w:type="dxa"/>
          <w:bottom w:w="0" w:type="dxa"/>
          <w:right w:w="108" w:type="dxa"/>
        </w:tblCellMar>
        <w:tblLook w:val="04a0"/>
      </w:tblPr>
      <w:tblGrid>
        <w:gridCol w:w="2406"/>
        <w:gridCol w:w="2552"/>
        <w:gridCol w:w="2691"/>
        <w:gridCol w:w="2835"/>
      </w:tblGrid>
      <w:tr>
        <w:trPr>
          <w:trHeight w:val="220" w:hRule="atLeast"/>
        </w:trPr>
        <w:tc>
          <w:tcPr>
            <w:tcW w:w="2406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  <w:tc>
          <w:tcPr>
            <w:tcW w:w="2691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Исполнитель, либо доверенное лицо Исполнителя: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18"/>
                <w:szCs w:val="18"/>
              </w:rPr>
              <w:t>______________/ Якунина С.А</w:t>
            </w:r>
            <w:r>
              <w:rPr>
                <w:b/>
                <w:bCs/>
                <w:sz w:val="18"/>
                <w:szCs w:val="18"/>
              </w:rPr>
              <w:t>.</w:t>
            </w:r>
          </w:p>
        </w:tc>
      </w:tr>
      <w:tr>
        <w:trPr/>
        <w:tc>
          <w:tcPr>
            <w:tcW w:w="2406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2691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ind w:firstLine="708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b/>
          <w:b/>
        </w:rPr>
      </w:pPr>
      <w:r>
        <w:rPr>
          <w:b/>
        </w:rPr>
        <w:t>Оборудование получил из ремонта в полном комплекте и исправном состоянии, претензий не имею:</w:t>
      </w:r>
    </w:p>
    <w:p>
      <w:pPr>
        <w:pStyle w:val="Normal"/>
        <w:rPr>
          <w:b/>
          <w:b/>
        </w:rPr>
      </w:pPr>
      <w:r>
        <w:rPr>
          <w:b/>
        </w:rPr>
      </w:r>
    </w:p>
    <w:tbl>
      <w:tblPr>
        <w:tblStyle w:val="ab"/>
        <w:tblW w:w="4957" w:type="dxa"/>
        <w:jc w:val="left"/>
        <w:tblInd w:w="0" w:type="dxa"/>
        <w:tblCellMar>
          <w:top w:w="0" w:type="dxa"/>
          <w:left w:w="153" w:type="dxa"/>
          <w:bottom w:w="0" w:type="dxa"/>
          <w:right w:w="108" w:type="dxa"/>
        </w:tblCellMar>
        <w:tblLook w:val="04a0"/>
      </w:tblPr>
      <w:tblGrid>
        <w:gridCol w:w="2405"/>
        <w:gridCol w:w="2551"/>
      </w:tblGrid>
      <w:tr>
        <w:trPr>
          <w:trHeight w:val="220" w:hRule="atLeast"/>
        </w:trPr>
        <w:tc>
          <w:tcPr>
            <w:tcW w:w="2405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</w:tr>
      <w:tr>
        <w:trPr/>
        <w:tc>
          <w:tcPr>
            <w:tcW w:w="2405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Квитанция на получение оборудования №</w:t>
      </w:r>
    </w:p>
    <w:tbl>
      <w:tblPr>
        <w:tblStyle w:val="ab"/>
        <w:tblW w:w="10632" w:type="dxa"/>
        <w:jc w:val="left"/>
        <w:tblInd w:w="0" w:type="dxa"/>
        <w:tblCellMar>
          <w:top w:w="0" w:type="dxa"/>
          <w:left w:w="158" w:type="dxa"/>
          <w:bottom w:w="0" w:type="dxa"/>
          <w:right w:w="108" w:type="dxa"/>
        </w:tblCellMar>
        <w:tblLook w:val="04a0"/>
      </w:tblPr>
      <w:tblGrid>
        <w:gridCol w:w="3259"/>
        <w:gridCol w:w="7372"/>
      </w:tblGrid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отправитель:</w:t>
            </w:r>
          </w:p>
        </w:tc>
        <w:tc>
          <w:tcPr>
            <w:tcW w:w="737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ИНН:</w:t>
            </w:r>
          </w:p>
        </w:tc>
        <w:tc>
          <w:tcPr>
            <w:tcW w:w="737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56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Контактное лицо:</w:t>
            </w:r>
          </w:p>
        </w:tc>
        <w:tc>
          <w:tcPr>
            <w:tcW w:w="737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Контактный номер:</w:t>
            </w:r>
          </w:p>
        </w:tc>
        <w:tc>
          <w:tcPr>
            <w:tcW w:w="737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обратной доставки:</w:t>
            </w:r>
          </w:p>
        </w:tc>
        <w:tc>
          <w:tcPr>
            <w:tcW w:w="737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Курирующий менеджер:</w:t>
            </w:r>
          </w:p>
        </w:tc>
        <w:tc>
          <w:tcPr>
            <w:tcW w:w="737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tbl>
      <w:tblPr>
        <w:tblStyle w:val="ab"/>
        <w:tblW w:w="10627" w:type="dxa"/>
        <w:jc w:val="left"/>
        <w:tblInd w:w="0" w:type="dxa"/>
        <w:tblCellMar>
          <w:top w:w="0" w:type="dxa"/>
          <w:left w:w="63" w:type="dxa"/>
          <w:bottom w:w="0" w:type="dxa"/>
          <w:right w:w="108" w:type="dxa"/>
        </w:tblCellMar>
        <w:tblLook w:val="04a0"/>
      </w:tblPr>
      <w:tblGrid>
        <w:gridCol w:w="799"/>
        <w:gridCol w:w="2694"/>
        <w:gridCol w:w="3448"/>
        <w:gridCol w:w="3685"/>
      </w:tblGrid>
      <w:tr>
        <w:trPr>
          <w:trHeight w:val="574" w:hRule="atLeast"/>
        </w:trPr>
        <w:tc>
          <w:tcPr>
            <w:tcW w:w="799" w:type="dxa"/>
            <w:tcBorders/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94" w:type="dxa"/>
            <w:tcBorders/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Штрихкод</w:t>
            </w:r>
          </w:p>
        </w:tc>
        <w:tc>
          <w:tcPr>
            <w:tcW w:w="3448" w:type="dxa"/>
            <w:tcBorders/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Модель</w:t>
            </w:r>
          </w:p>
        </w:tc>
        <w:tc>
          <w:tcPr>
            <w:tcW w:w="3685" w:type="dxa"/>
            <w:tcBorders/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Описание неисправности</w:t>
            </w:r>
          </w:p>
        </w:tc>
      </w:tr>
      <w:tr>
        <w:trPr>
          <w:trHeight w:val="554" w:hRule="atLeast"/>
        </w:trPr>
        <w:tc>
          <w:tcPr>
            <w:tcW w:w="799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48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685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Гарантийное обслуживание осуществляется при предъявлении оборудования в упаковочной коробке, паспортом на изделие и заполненным сопроводительным листом. Доставка до сервисного центра осуществляется за счет покупателя силами и средствами транспортной компании «Энергия», либо по предварительному согласованию с курирующим менеджером</w:t>
      </w:r>
    </w:p>
    <w:p>
      <w:pPr>
        <w:pStyle w:val="Normal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Оборудование с согласия Заказчика принимается без разборки и проверки соответствия заявленных им неисправностей, без проверки внутренних повреждений. Принадлежность к гарантийному ремонту определяется только после предоставления Заказчиком документов подтверждающих гарантийные обязательства Исполнителя предъявленного оборудования, а так же после вскрытия, осмотра и диагностики специалистами сервисного центра. Заказчик принимает на себя риск, связанный с возможным обнаружением в сданном оборудовании дефектов, не указанных в данной квитанции о приеме оборудования, а также риск возможной полной или частичной утраты работоспособности оборудования или отдельных его узлов и блоков в следствии грубых нарушений пользователем условий эксплуатации оборудования, наличия следов коррозии и агрессивных сред, попадания влаги, механических повреждений, следов наличия посторонних предметов, следов присутствия насекомых или продуктов их жизнедеятельности. В случаи одностороннего отказа Заказчика от проведения платного не гарантийного ремонта, Заказчиком оплачивается выполненная диагностика в соответствии с расценками сервисного центра Исполнителя. Диагностика дефекта может занимать до 15 рабочих дней в зависимости от характера неисправности, если не было согласованно сторонами дополнительно. При периодическом характере неисправности («плавающий» дефект) начало работы по его устранению считается день проявления дефекта в сервисном центре. Срок устранения гарантийных дефектов оборудования без учета времени диагностики при наличии ЗИП комплектующих составляет не более 30 дней с момента передачи изделия на ремонт. Максимальный срок ремонта не более 45 дней без предварительного уведомления Заказчика, более длительный срок согласовывается дополнительно по истечению данного срока. После уведомления Исполнителем о готовности оборудования, Заказчик обязуется в 30 дневные срок забрать, либо оформить доставку оборудования из ремонта. Максимальный срок хранения оборудования Заказчика не более трех месяцев с даты приема оборудования на ремонт, после чего Исполнитель вправе принять решение об утилизации данного оборудования, либо его реализации в целях погашения фактически понесенных Исполнителем затрат на его хранение. Возврат оборудования из ремонта осуществляется после оплаты выставленных счетов (в случаи платного не гарантийного ремонта) и при наличии квитанции о приеме оборудования в ремонт. При утере квитанции оборудование возвращается только при наличии паспорта на имя Заказчика.</w:t>
      </w:r>
    </w:p>
    <w:p>
      <w:pPr>
        <w:pStyle w:val="Normal"/>
        <w:ind w:firstLine="708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ab"/>
        <w:tblW w:w="10485" w:type="dxa"/>
        <w:jc w:val="left"/>
        <w:tblInd w:w="0" w:type="dxa"/>
        <w:tblCellMar>
          <w:top w:w="0" w:type="dxa"/>
          <w:left w:w="153" w:type="dxa"/>
          <w:bottom w:w="0" w:type="dxa"/>
          <w:right w:w="108" w:type="dxa"/>
        </w:tblCellMar>
        <w:tblLook w:val="04a0"/>
      </w:tblPr>
      <w:tblGrid>
        <w:gridCol w:w="2406"/>
        <w:gridCol w:w="2552"/>
        <w:gridCol w:w="2691"/>
        <w:gridCol w:w="2835"/>
      </w:tblGrid>
      <w:tr>
        <w:trPr>
          <w:trHeight w:val="220" w:hRule="atLeast"/>
        </w:trPr>
        <w:tc>
          <w:tcPr>
            <w:tcW w:w="2406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  <w:tc>
          <w:tcPr>
            <w:tcW w:w="2691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Исполнитель, либо доверенное лицо Исполнителя: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18"/>
                <w:szCs w:val="18"/>
              </w:rPr>
              <w:t>______________/ Якунина С.А</w:t>
            </w:r>
            <w:r>
              <w:rPr>
                <w:b/>
                <w:bCs/>
                <w:sz w:val="18"/>
                <w:szCs w:val="18"/>
              </w:rPr>
              <w:t>.</w:t>
            </w:r>
          </w:p>
        </w:tc>
      </w:tr>
      <w:tr>
        <w:trPr/>
        <w:tc>
          <w:tcPr>
            <w:tcW w:w="2406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2691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  <w:r>
        <w:br w:type="page"/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Опись вложений в груз</w:t>
      </w:r>
    </w:p>
    <w:tbl>
      <w:tblPr>
        <w:tblStyle w:val="ab"/>
        <w:tblW w:w="10456" w:type="dxa"/>
        <w:jc w:val="left"/>
        <w:tblInd w:w="0" w:type="dxa"/>
        <w:tblCellMar>
          <w:top w:w="0" w:type="dxa"/>
          <w:left w:w="153" w:type="dxa"/>
          <w:bottom w:w="0" w:type="dxa"/>
          <w:right w:w="108" w:type="dxa"/>
        </w:tblCellMar>
        <w:tblLook w:val="04a0"/>
      </w:tblPr>
      <w:tblGrid>
        <w:gridCol w:w="7091"/>
        <w:gridCol w:w="3364"/>
      </w:tblGrid>
      <w:tr>
        <w:trPr/>
        <w:tc>
          <w:tcPr>
            <w:tcW w:w="7091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Грузоотправитель:</w:t>
            </w:r>
          </w:p>
        </w:tc>
        <w:tc>
          <w:tcPr>
            <w:tcW w:w="3364" w:type="dxa"/>
            <w:tcBorders/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6" w:hRule="atLeast"/>
        </w:trPr>
        <w:tc>
          <w:tcPr>
            <w:tcW w:w="7091" w:type="dxa"/>
            <w:tcBorders>
              <w:top w:val="nil"/>
              <w:left w:val="nil"/>
              <w:right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0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(Полное наименование для юр. лица / ФИО для физ. лица / ИП )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К накладным (экспедиторским распискам)</w:t>
        <w:tab/>
        <w:t>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/>
        <w:t>_______________________________________________________________________________________________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b"/>
        <w:tblW w:w="10456" w:type="dxa"/>
        <w:jc w:val="left"/>
        <w:tblInd w:w="-10" w:type="dxa"/>
        <w:tblCellMar>
          <w:top w:w="0" w:type="dxa"/>
          <w:left w:w="63" w:type="dxa"/>
          <w:bottom w:w="0" w:type="dxa"/>
          <w:right w:w="108" w:type="dxa"/>
        </w:tblCellMar>
        <w:tblLook w:val="04a0"/>
      </w:tblPr>
      <w:tblGrid>
        <w:gridCol w:w="856"/>
        <w:gridCol w:w="9599"/>
      </w:tblGrid>
      <w:tr>
        <w:trPr/>
        <w:tc>
          <w:tcPr>
            <w:tcW w:w="856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п/п</w:t>
            </w:r>
          </w:p>
        </w:tc>
        <w:tc>
          <w:tcPr>
            <w:tcW w:w="9599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товара</w:t>
            </w:r>
          </w:p>
        </w:tc>
      </w:tr>
      <w:tr>
        <w:trPr>
          <w:trHeight w:val="551" w:hRule="atLeast"/>
        </w:trPr>
        <w:tc>
          <w:tcPr>
            <w:tcW w:w="856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599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455" w:type="dxa"/>
            <w:gridSpan w:val="2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48" w:hRule="atLeast"/>
        </w:trPr>
        <w:tc>
          <w:tcPr>
            <w:tcW w:w="10455" w:type="dxa"/>
            <w:gridSpan w:val="2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(Должность, ФИО (для юр. лица) / ФИО для физ. лица / ИП )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b"/>
        <w:tblW w:w="10456" w:type="dxa"/>
        <w:jc w:val="left"/>
        <w:tblInd w:w="0" w:type="dxa"/>
        <w:tblCellMar>
          <w:top w:w="0" w:type="dxa"/>
          <w:left w:w="158" w:type="dxa"/>
          <w:bottom w:w="0" w:type="dxa"/>
          <w:right w:w="108" w:type="dxa"/>
        </w:tblCellMar>
        <w:tblLook w:val="04a0"/>
      </w:tblPr>
      <w:tblGrid>
        <w:gridCol w:w="3680"/>
        <w:gridCol w:w="3315"/>
        <w:gridCol w:w="1730"/>
        <w:gridCol w:w="1730"/>
      </w:tblGrid>
      <w:tr>
        <w:trPr/>
        <w:tc>
          <w:tcPr>
            <w:tcW w:w="3680" w:type="dxa"/>
            <w:tcBorders>
              <w:top w:val="nil"/>
              <w:left w:val="nil"/>
              <w:right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_____________/_____________</w:t>
            </w:r>
          </w:p>
        </w:tc>
      </w:tr>
      <w:tr>
        <w:trPr>
          <w:trHeight w:val="350" w:hRule="atLeast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(Данные доверенности (для представителя)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(Расшифровка)</w:t>
            </w:r>
          </w:p>
        </w:tc>
      </w:tr>
      <w:tr>
        <w:trPr/>
        <w:tc>
          <w:tcPr>
            <w:tcW w:w="36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«_____»_________________20___г.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headerReference w:type="default" r:id="rId2"/>
      <w:type w:val="nextPage"/>
      <w:pgSz w:w="11906" w:h="16838"/>
      <w:pgMar w:left="720" w:right="720" w:header="708" w:top="765" w:footer="0" w:bottom="720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Verdana">
    <w:charset w:val="cc"/>
    <w:family w:val="roman"/>
    <w:pitch w:val="variable"/>
  </w:font>
  <w:font w:name="Segoe UI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jc w:val="center"/>
      <w:rPr>
        <w:b/>
        <w:b/>
        <w:color w:val="1F4E79" w:themeColor="accent1" w:themeShade="80"/>
        <w:sz w:val="32"/>
        <w:szCs w:val="32"/>
      </w:rPr>
    </w:pPr>
    <w:r>
      <w:rPr/>
      <w:drawing>
        <wp:inline distT="0" distB="0" distL="0" distR="0">
          <wp:extent cx="457200" cy="413385"/>
          <wp:effectExtent l="0" t="0" r="0" b="0"/>
          <wp:docPr id="1" name="Рисунок 1" descr="C:\Users\Программист\PhpstormProjects\kropotov\t54.ru\2018-07-02\SL_NSK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C:\Users\Программист\PhpstormProjects\kropotov\t54.ru\2018-07-02\SL_NSK\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13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Style24"/>
      <w:jc w:val="center"/>
      <w:rPr/>
    </w:pPr>
    <w:r>
      <w:rPr>
        <w:b/>
        <w:color w:val="1F4E79" w:themeColor="accent1" w:themeShade="80"/>
        <w:sz w:val="32"/>
        <w:szCs w:val="32"/>
      </w:rPr>
      <w:t xml:space="preserve">Индивидуальный предприниматель </w:t>
    </w:r>
  </w:p>
  <w:p>
    <w:pPr>
      <w:pStyle w:val="Normal"/>
      <w:jc w:val="center"/>
      <w:rPr>
        <w:color w:val="1F4E79"/>
        <w:sz w:val="32"/>
        <w:szCs w:val="32"/>
      </w:rPr>
    </w:pPr>
    <w:r>
      <w:rPr>
        <w:b/>
        <w:color w:val="1F4E79" w:themeColor="accent1" w:themeShade="80"/>
        <w:spacing w:val="3"/>
        <w:sz w:val="32"/>
        <w:szCs w:val="32"/>
      </w:rPr>
      <w:t>Якунина Светлана Александровна</w:t>
    </w:r>
  </w:p>
  <w:p>
    <w:pPr>
      <w:pStyle w:val="Style24"/>
      <w:jc w:val="center"/>
      <w:rPr/>
    </w:pPr>
    <w:r>
      <w:rPr>
        <w:b/>
        <w:sz w:val="20"/>
        <w:szCs w:val="20"/>
      </w:rPr>
      <w:t>ИНН/ОГРНИП:</w:t>
    </w:r>
    <w:r>
      <w:rPr>
        <w:b/>
        <w:bCs/>
        <w:sz w:val="20"/>
        <w:szCs w:val="20"/>
      </w:rPr>
      <w:t xml:space="preserve"> </w:t>
    </w:r>
    <w:r>
      <w:rPr>
        <w:rFonts w:cs="Times New Roman"/>
        <w:b/>
        <w:bCs/>
        <w:i w:val="false"/>
        <w:iCs w:val="false"/>
        <w:caps w:val="false"/>
        <w:smallCaps w:val="false"/>
        <w:color w:val="000000"/>
        <w:spacing w:val="0"/>
        <w:sz w:val="20"/>
        <w:szCs w:val="20"/>
        <w:lang w:eastAsia="ru-RU"/>
      </w:rPr>
      <w:t>420700028439</w:t>
    </w:r>
    <w:r>
      <w:rPr>
        <w:b/>
        <w:bCs/>
        <w:color w:val="000000"/>
        <w:sz w:val="20"/>
        <w:szCs w:val="20"/>
      </w:rPr>
      <w:t xml:space="preserve">  /</w:t>
    </w:r>
    <w:r>
      <w:rPr>
        <w:b/>
        <w:bCs/>
        <w:sz w:val="20"/>
        <w:szCs w:val="20"/>
      </w:rPr>
      <w:t xml:space="preserve"> </w:t>
    </w:r>
    <w:r>
      <w:rPr>
        <w:b/>
        <w:bCs/>
        <w:color w:val="000000"/>
        <w:sz w:val="20"/>
        <w:szCs w:val="20"/>
      </w:rPr>
      <w:t>304420526500134</w:t>
    </w:r>
  </w:p>
  <w:p>
    <w:pPr>
      <w:pStyle w:val="Style24"/>
      <w:jc w:val="center"/>
      <w:rPr/>
    </w:pPr>
    <w:r>
      <w:rPr>
        <w:b/>
        <w:sz w:val="24"/>
        <w:szCs w:val="24"/>
      </w:rPr>
      <w:t xml:space="preserve">Адрес: </w:t>
    </w:r>
    <w:r>
      <w:rPr>
        <w:rFonts w:cs="Verdana" w:ascii="Verdana" w:hAnsi="Verdana"/>
        <w:b/>
        <w:bCs/>
        <w:i w:val="false"/>
        <w:caps w:val="false"/>
        <w:smallCaps w:val="false"/>
        <w:color w:val="000000"/>
        <w:spacing w:val="0"/>
        <w:sz w:val="18"/>
        <w:szCs w:val="18"/>
        <w:u w:val="none"/>
        <w:lang w:val="ru-RU"/>
      </w:rPr>
      <w:t>г. Барнаул, ул. Пионеров, 5</w:t>
    </w:r>
  </w:p>
  <w:p>
    <w:pPr>
      <w:pStyle w:val="Style24"/>
      <w:jc w:val="center"/>
      <w:rPr/>
    </w:pPr>
    <w:r>
      <w:rPr>
        <w:b/>
        <w:sz w:val="24"/>
        <w:szCs w:val="24"/>
      </w:rPr>
      <w:t>Тел.:</w:t>
    </w:r>
    <w:r>
      <w:rPr>
        <w:b/>
        <w:bCs/>
        <w:color w:val="000000"/>
        <w:sz w:val="24"/>
        <w:szCs w:val="24"/>
      </w:rPr>
      <w:t xml:space="preserve"> </w:t>
    </w:r>
    <w:r>
      <w:rPr>
        <w:b/>
        <w:bCs/>
        <w:color w:val="000000"/>
        <w:sz w:val="24"/>
        <w:szCs w:val="24"/>
        <w:u w:val="none"/>
      </w:rPr>
      <w:t xml:space="preserve"> </w:t>
    </w:r>
    <w:r>
      <w:rPr>
        <w:rFonts w:cs="Verdana" w:ascii="Verdana" w:hAnsi="Verdana"/>
        <w:b/>
        <w:bCs/>
        <w:color w:val="000000"/>
        <w:sz w:val="18"/>
        <w:szCs w:val="18"/>
        <w:u w:val="none"/>
      </w:rPr>
      <w:t xml:space="preserve">+7-964-086-8152; +7-961-861-5577; +7 (3852) </w:t>
    </w:r>
    <w:r>
      <w:rPr>
        <w:rFonts w:cs="Segoe UI" w:ascii="Segoe UI" w:hAnsi="Segoe UI"/>
        <w:b/>
        <w:bCs/>
        <w:color w:val="000000"/>
        <w:sz w:val="21"/>
        <w:szCs w:val="21"/>
        <w:u w:val="none"/>
      </w:rPr>
      <w:t>35-95-15</w:t>
    </w:r>
  </w:p>
  <w:p>
    <w:pPr>
      <w:pStyle w:val="Style24"/>
      <w:jc w:val="center"/>
      <w:rPr>
        <w:b/>
        <w:b/>
        <w:color w:val="1F4E79" w:themeColor="accent1" w:themeShade="80"/>
        <w:sz w:val="32"/>
        <w:szCs w:val="32"/>
      </w:rPr>
    </w:pPr>
    <w:r>
      <w:rPr>
        <w:b/>
        <w:color w:val="1F4E79" w:themeColor="accent1" w:themeShade="80"/>
        <w:sz w:val="32"/>
        <w:szCs w:val="32"/>
      </w:rPr>
      <w:t>Авторизованный сервисный центр «VeSta»</w:t>
    </w:r>
  </w:p>
  <w:p>
    <w:pPr>
      <w:pStyle w:val="Style24"/>
      <w:jc w:val="center"/>
      <w:rPr>
        <w:b/>
        <w:b/>
        <w:color w:val="1F4E79" w:themeColor="accent1" w:themeShade="80"/>
        <w:sz w:val="32"/>
        <w:szCs w:val="32"/>
      </w:rPr>
    </w:pPr>
    <w:r>
      <w:rPr>
        <w:b/>
        <w:color w:val="1F4E79" w:themeColor="accent1" w:themeShade="80"/>
        <w:sz w:val="32"/>
        <w:szCs w:val="32"/>
      </w:rPr>
    </w:r>
  </w:p>
</w:hdr>
</file>

<file path=word/settings.xml><?xml version="1.0" encoding="utf-8"?>
<w:settings xmlns:w="http://schemas.openxmlformats.org/wordprocessingml/2006/main">
  <w:zoom w:percent="10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c657a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f72f6c"/>
    <w:rPr/>
  </w:style>
  <w:style w:type="character" w:styleId="Style15" w:customStyle="1">
    <w:name w:val="Нижний колонтитул Знак"/>
    <w:basedOn w:val="DefaultParagraphFont"/>
    <w:uiPriority w:val="99"/>
    <w:qFormat/>
    <w:rsid w:val="00f72f6c"/>
    <w:rPr/>
  </w:style>
  <w:style w:type="character" w:styleId="Style16" w:customStyle="1">
    <w:name w:val="Интернет-ссылка"/>
    <w:basedOn w:val="DefaultParagraphFont"/>
    <w:uiPriority w:val="99"/>
    <w:unhideWhenUsed/>
    <w:rsid w:val="00f72f6c"/>
    <w:rPr>
      <w:color w:val="0563C1" w:themeColor="hyperlink"/>
      <w:u w:val="single"/>
    </w:rPr>
  </w:style>
  <w:style w:type="character" w:styleId="Style17" w:customStyle="1">
    <w:name w:val="Текст выноски Знак"/>
    <w:basedOn w:val="DefaultParagraphFont"/>
    <w:uiPriority w:val="99"/>
    <w:semiHidden/>
    <w:qFormat/>
    <w:rsid w:val="0039712c"/>
    <w:rPr>
      <w:rFonts w:ascii="Tahoma" w:hAnsi="Tahoma" w:cs="Tahoma"/>
      <w:sz w:val="16"/>
      <w:szCs w:val="16"/>
    </w:rPr>
  </w:style>
  <w:style w:type="character" w:styleId="2">
    <w:name w:val="Основной текст 2 Знак"/>
    <w:qFormat/>
    <w:rPr>
      <w:sz w:val="24"/>
    </w:rPr>
  </w:style>
  <w:style w:type="character" w:styleId="Style18">
    <w:name w:val="Основной шрифт абзаца"/>
    <w:qFormat/>
    <w:rPr/>
  </w:style>
  <w:style w:type="paragraph" w:styleId="Style19" w:customStyle="1">
    <w:name w:val="Заголовок"/>
    <w:basedOn w:val="Normal"/>
    <w:next w:val="Style20"/>
    <w:qFormat/>
    <w:rsid w:val="004f1abe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0">
    <w:name w:val="Body Text"/>
    <w:basedOn w:val="Normal"/>
    <w:rsid w:val="004f1abe"/>
    <w:pPr>
      <w:spacing w:lineRule="auto" w:line="288" w:before="0" w:after="140"/>
    </w:pPr>
    <w:rPr/>
  </w:style>
  <w:style w:type="paragraph" w:styleId="Style21">
    <w:name w:val="List"/>
    <w:basedOn w:val="Style20"/>
    <w:rsid w:val="004f1abe"/>
    <w:pPr/>
    <w:rPr>
      <w:rFonts w:cs="Mangal"/>
    </w:rPr>
  </w:style>
  <w:style w:type="paragraph" w:styleId="Style22" w:customStyle="1">
    <w:name w:val="Caption"/>
    <w:basedOn w:val="Normal"/>
    <w:qFormat/>
    <w:rsid w:val="004f1ab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Indexheading">
    <w:name w:val="index heading"/>
    <w:basedOn w:val="Normal"/>
    <w:qFormat/>
    <w:rsid w:val="004f1abe"/>
    <w:pPr>
      <w:suppressLineNumbers/>
    </w:pPr>
    <w:rPr>
      <w:rFonts w:cs="Mangal"/>
    </w:rPr>
  </w:style>
  <w:style w:type="paragraph" w:styleId="Style24" w:customStyle="1">
    <w:name w:val="Header"/>
    <w:basedOn w:val="Normal"/>
    <w:uiPriority w:val="99"/>
    <w:unhideWhenUsed/>
    <w:rsid w:val="00f72f6c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 w:customStyle="1">
    <w:name w:val="Footer"/>
    <w:basedOn w:val="Normal"/>
    <w:uiPriority w:val="99"/>
    <w:unhideWhenUsed/>
    <w:rsid w:val="00f72f6c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39712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21">
    <w:name w:val="Основной текст 2"/>
    <w:basedOn w:val="Normal"/>
    <w:qFormat/>
    <w:pPr>
      <w:widowControl w:val="false"/>
      <w:bidi w:val="0"/>
      <w:ind w:left="0" w:right="0" w:firstLine="567"/>
      <w:jc w:val="both"/>
    </w:pPr>
    <w:rPr>
      <w:rFonts w:ascii="Times New Roman" w:hAnsi="Times New Roman" w:eastAsia="Times New Roman"/>
      <w:color w:val="000000"/>
      <w:sz w:val="24"/>
      <w:lang w:val="ru-RU" w:eastAsia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39"/>
    <w:rsid w:val="00f72f6c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Application>LibreOffice/5.4.0.3$Windows_X86_64 LibreOffice_project/7556cbc6811c9d992f4064ab9287069087d7f62c</Application>
  <Pages>3</Pages>
  <Words>860</Words>
  <Characters>6599</Characters>
  <CharactersWithSpaces>7399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2018-08-17T04:53:00Z</dcterms:created>
  <dc:creator>Программист;OpenTBS 1.9.11</dc:creator>
  <dc:description/>
  <dc:language>ru-RU</dc:language>
  <cp:lastModifiedBy/>
  <dcterms:modified xsi:type="dcterms:W3CDTF">2020-09-22T13:01:45Z</dcterms:modified>
  <cp:revision>48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